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App Deutsches Hypothermieregister – Inhalte (Arbeitsfassung)</w:t>
      </w:r>
    </w:p>
    <w:p>
      <w:pPr>
        <w:pStyle w:val="Heading2"/>
      </w:pPr>
      <w:r>
        <w:t>1. Ziel der App</w:t>
      </w:r>
    </w:p>
    <w:p>
      <w:r>
        <w:t>Die App des Deutschen Hypothermieregisters soll Ärztinnen und Ärzte im klinischen Alltag bei der Versorgung von Neugeborenen mit perinataler Asphyxie unterstützen. Ziel ist ein schneller, strukturierter und jederzeit verfügbarer Zugriff auf relevante Informationen zur Indikationsstellung, Durchführung und Begleitung der therapeutischen Hypothermie.</w:t>
        <w:br/>
        <w:br/>
        <w:t>Die App ist als reine Informations- und Entscheidungshilfe konzipiert. Sie ersetzt keine Leitlinie, sondern bündelt evidenzbasierte Inhalte praxisnah an einem Ort – insbesondere für den Einsatz im Dienst und am Patientenbett.</w:t>
      </w:r>
    </w:p>
    <w:p>
      <w:pPr>
        <w:pStyle w:val="Heading2"/>
      </w:pPr>
      <w:r>
        <w:t>2. Indikation zur Hypothermiebehandlung</w:t>
      </w:r>
    </w:p>
    <w:p>
      <w:r>
        <w:t>Die Entscheidung zur therapeutischen Hypothermie erfolgt auf Basis klinischer, anamnestischer und neurologischer Kriterien. Voraussetzung ist das Vorliegen einer perinatalen Asphyxie mit dem Risiko einer hypoxisch-ischämischen Enzephalopathie (HIE).</w:t>
      </w:r>
    </w:p>
    <w:p>
      <w:pPr>
        <w:pStyle w:val="Heading2"/>
      </w:pPr>
      <w:r>
        <w:t>3. Neurologische Scores</w:t>
      </w:r>
    </w:p>
    <w:p>
      <w:r>
        <w:t>Die neurologische Beurteilung ist zentral für die Indikationsstellung zur Hypothermie.</w:t>
      </w:r>
    </w:p>
    <w:p>
      <w:pPr>
        <w:pStyle w:val="Heading2"/>
      </w:pPr>
      <w:r>
        <w:t>3.1 Sarnat-Score</w:t>
      </w:r>
    </w:p>
    <w:p>
      <w:r>
        <w:t>Bewertete Kategorien:</w:t>
        <w:br/>
        <w:t>- Bewusstsein</w:t>
        <w:br/>
        <w:t>- Aktivität</w:t>
        <w:br/>
        <w:t>- Muskeltonus</w:t>
        <w:br/>
        <w:t>- Haltung</w:t>
        <w:br/>
        <w:t>- Primitive Reflexe</w:t>
        <w:br/>
        <w:t>- Autonome Funktionen</w:t>
        <w:br/>
        <w:br/>
        <w:t>Entscheidend für die Therapie ist das Vorliegen von Symptomen einer mittelgradigen oder schweren HIE (Grad II oder III) in mindestens drei der sechs Kategorien nach Sarnat &amp; Sarnat.</w:t>
      </w:r>
    </w:p>
    <w:p>
      <w:pPr>
        <w:pStyle w:val="Heading2"/>
      </w:pPr>
      <w:r>
        <w:t>4. Therapeutische Hypothermie – Überblick</w:t>
      </w:r>
    </w:p>
    <w:p>
      <w:r>
        <w:t>Zieltemperatur: 33–34 °C</w:t>
        <w:br/>
        <w:t>Dauer: 72 Stunden</w:t>
        <w:br/>
        <w:t>Kontrolliertes Rewarming</w:t>
      </w:r>
    </w:p>
    <w:p>
      <w:pPr>
        <w:pStyle w:val="Heading2"/>
      </w:pPr>
      <w:r>
        <w:t>5. aEEG – Grundlagen</w:t>
      </w:r>
    </w:p>
    <w:p>
      <w:r>
        <w:t>Das amplitudenintegrierte EEG (aEEG) ist ein zentrales Instrument zur Beurteilung der Hirnaktivität bei Neugeborenen mit HIE.</w:t>
      </w:r>
    </w:p>
    <w:p>
      <w:pPr>
        <w:pStyle w:val="Heading2"/>
      </w:pPr>
      <w:r>
        <w:t>6. Checklisten</w:t>
      </w:r>
    </w:p>
    <w:p>
      <w:r>
        <w:t>Hypothermie-Start</w:t>
        <w:br/>
        <w:t>Rewarming</w:t>
        <w:br/>
        <w:t>Dienst-Checkliste</w:t>
      </w:r>
    </w:p>
    <w:p>
      <w:pPr>
        <w:pStyle w:val="Heading2"/>
      </w:pPr>
      <w:r>
        <w:t>7. Bildgebung &amp; Diagnostik</w:t>
      </w:r>
    </w:p>
    <w:p>
      <w:r>
        <w:t>cMRT, Sonografie, Laborparameter</w:t>
      </w:r>
    </w:p>
    <w:p>
      <w:pPr>
        <w:pStyle w:val="Heading2"/>
      </w:pPr>
      <w:r>
        <w:t>8. Kommunikation</w:t>
      </w:r>
    </w:p>
    <w:p>
      <w:r>
        <w:t>Akutgespräch, Verlaufsgespräch, Prognosegespräch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